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296E" w14:textId="4E32D343" w:rsidR="00941ABA" w:rsidRDefault="00941ABA" w:rsidP="000873B0">
      <w:pPr>
        <w:pStyle w:val="CM194"/>
        <w:spacing w:after="90"/>
      </w:pPr>
      <w:r>
        <w:rPr>
          <w:noProof/>
        </w:rPr>
        <w:drawing>
          <wp:anchor distT="0" distB="0" distL="114300" distR="114300" simplePos="0" relativeHeight="251658240" behindDoc="1" locked="0" layoutInCell="1" allowOverlap="1" wp14:anchorId="5300C823" wp14:editId="0EDF978C">
            <wp:simplePos x="0" y="0"/>
            <wp:positionH relativeFrom="margin">
              <wp:align>center</wp:align>
            </wp:positionH>
            <wp:positionV relativeFrom="paragraph">
              <wp:posOffset>0</wp:posOffset>
            </wp:positionV>
            <wp:extent cx="1238250" cy="1657350"/>
            <wp:effectExtent l="0" t="0" r="0" b="0"/>
            <wp:wrapTight wrapText="bothSides">
              <wp:wrapPolygon edited="0">
                <wp:start x="0" y="0"/>
                <wp:lineTo x="0" y="21352"/>
                <wp:lineTo x="21268" y="21352"/>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38250" cy="1657350"/>
                    </a:xfrm>
                    <a:prstGeom prst="rect">
                      <a:avLst/>
                    </a:prstGeom>
                  </pic:spPr>
                </pic:pic>
              </a:graphicData>
            </a:graphic>
            <wp14:sizeRelH relativeFrom="page">
              <wp14:pctWidth>0</wp14:pctWidth>
            </wp14:sizeRelH>
            <wp14:sizeRelV relativeFrom="page">
              <wp14:pctHeight>0</wp14:pctHeight>
            </wp14:sizeRelV>
          </wp:anchor>
        </w:drawing>
      </w:r>
    </w:p>
    <w:p w14:paraId="5DCE09F3" w14:textId="77777777" w:rsidR="00941ABA" w:rsidRDefault="00941ABA" w:rsidP="000873B0">
      <w:pPr>
        <w:pStyle w:val="CM194"/>
        <w:spacing w:after="90"/>
      </w:pPr>
    </w:p>
    <w:p w14:paraId="41574A28" w14:textId="1891FE93" w:rsidR="000873B0" w:rsidRDefault="00941ABA" w:rsidP="000873B0">
      <w:pPr>
        <w:pStyle w:val="CM194"/>
        <w:spacing w:after="90"/>
        <w:rPr>
          <w:rFonts w:cs="Agenda RegularItalic"/>
          <w:i/>
          <w:iCs/>
          <w:color w:val="000000"/>
          <w:sz w:val="26"/>
          <w:szCs w:val="26"/>
        </w:rPr>
      </w:pPr>
      <w:hyperlink r:id="rId5" w:history="1">
        <w:r w:rsidRPr="00565CAE">
          <w:rPr>
            <w:rStyle w:val="Hyperlink"/>
            <w:rFonts w:cs="Agenda RegularItalic"/>
            <w:i/>
            <w:iCs/>
            <w:sz w:val="20"/>
            <w:szCs w:val="20"/>
          </w:rPr>
          <w:t>https://assets.publishing.service.gov.uk/government/uploads/system/uploads/attachment_data/file/1052060/Levelling_Up_White_Paper.pdf</w:t>
        </w:r>
      </w:hyperlink>
      <w:r w:rsidR="000873B0">
        <w:rPr>
          <w:rFonts w:cs="Agenda RegularItalic"/>
          <w:i/>
          <w:iCs/>
          <w:color w:val="000000"/>
          <w:sz w:val="20"/>
          <w:szCs w:val="20"/>
        </w:rPr>
        <w:t xml:space="preserve"> </w:t>
      </w:r>
    </w:p>
    <w:p w14:paraId="6678C894" w14:textId="64E8C52D" w:rsidR="00941ABA" w:rsidRPr="00941ABA" w:rsidRDefault="00941ABA" w:rsidP="00941ABA">
      <w:pPr>
        <w:pStyle w:val="CM194"/>
        <w:spacing w:after="90"/>
        <w:jc w:val="center"/>
        <w:rPr>
          <w:rFonts w:cs="Agenda RegularItalic"/>
          <w:b/>
          <w:bCs/>
          <w:color w:val="000000"/>
          <w:sz w:val="26"/>
          <w:szCs w:val="26"/>
        </w:rPr>
      </w:pPr>
      <w:r w:rsidRPr="00941ABA">
        <w:rPr>
          <w:rFonts w:cs="Agenda RegularItalic"/>
          <w:b/>
          <w:bCs/>
          <w:color w:val="000000"/>
          <w:sz w:val="26"/>
          <w:szCs w:val="26"/>
        </w:rPr>
        <w:t>Levelling Up</w:t>
      </w:r>
      <w:r>
        <w:rPr>
          <w:rFonts w:cs="Agenda RegularItalic"/>
          <w:b/>
          <w:bCs/>
          <w:color w:val="000000"/>
          <w:sz w:val="26"/>
          <w:szCs w:val="26"/>
        </w:rPr>
        <w:t xml:space="preserve"> - </w:t>
      </w:r>
      <w:r w:rsidRPr="00941ABA">
        <w:rPr>
          <w:rFonts w:cs="Agenda RegularItalic"/>
          <w:b/>
          <w:bCs/>
          <w:color w:val="000000"/>
          <w:sz w:val="26"/>
          <w:szCs w:val="26"/>
        </w:rPr>
        <w:t>White Paper</w:t>
      </w:r>
    </w:p>
    <w:p w14:paraId="2AA8C903" w14:textId="25F5EC59" w:rsidR="000873B0" w:rsidRPr="00941ABA" w:rsidRDefault="000873B0" w:rsidP="00941ABA">
      <w:pPr>
        <w:pStyle w:val="CM194"/>
        <w:spacing w:after="90"/>
        <w:jc w:val="center"/>
        <w:rPr>
          <w:rFonts w:cs="Agenda RegularItalic"/>
          <w:b/>
          <w:bCs/>
          <w:color w:val="000000"/>
          <w:sz w:val="26"/>
          <w:szCs w:val="26"/>
        </w:rPr>
      </w:pPr>
      <w:r w:rsidRPr="00941ABA">
        <w:rPr>
          <w:rFonts w:cs="Agenda RegularItalic"/>
          <w:b/>
          <w:bCs/>
          <w:color w:val="000000"/>
          <w:sz w:val="26"/>
          <w:szCs w:val="26"/>
        </w:rPr>
        <w:t>Food and diet p236</w:t>
      </w:r>
    </w:p>
    <w:p w14:paraId="28344B30" w14:textId="2BFD9E3E" w:rsidR="000873B0" w:rsidRPr="00941ABA" w:rsidRDefault="000873B0" w:rsidP="00941ABA">
      <w:pPr>
        <w:pStyle w:val="CM195"/>
        <w:spacing w:after="232" w:line="276" w:lineRule="atLeast"/>
        <w:jc w:val="both"/>
        <w:rPr>
          <w:rFonts w:ascii="Agenda Regular" w:hAnsi="Agenda Regular" w:cs="Agenda Regular"/>
          <w:color w:val="000000"/>
          <w:sz w:val="22"/>
          <w:szCs w:val="22"/>
        </w:rPr>
      </w:pPr>
      <w:r w:rsidRPr="00941ABA">
        <w:rPr>
          <w:rFonts w:ascii="Agenda Regular" w:hAnsi="Agenda Regular" w:cs="Agenda Regular"/>
          <w:color w:val="000000"/>
          <w:sz w:val="22"/>
          <w:szCs w:val="22"/>
        </w:rPr>
        <w:t xml:space="preserve">Food and diet also underpin the health, </w:t>
      </w:r>
      <w:proofErr w:type="gramStart"/>
      <w:r w:rsidRPr="00941ABA">
        <w:rPr>
          <w:rFonts w:ascii="Agenda Regular" w:hAnsi="Agenda Regular" w:cs="Agenda Regular"/>
          <w:color w:val="000000"/>
          <w:sz w:val="22"/>
          <w:szCs w:val="22"/>
        </w:rPr>
        <w:t>well-being</w:t>
      </w:r>
      <w:proofErr w:type="gramEnd"/>
      <w:r w:rsidRPr="00941ABA">
        <w:rPr>
          <w:rFonts w:ascii="Agenda Regular" w:hAnsi="Agenda Regular" w:cs="Agenda Regular"/>
          <w:color w:val="000000"/>
          <w:sz w:val="22"/>
          <w:szCs w:val="22"/>
        </w:rPr>
        <w:t xml:space="preserve"> and potential of our society. The UK Government’s forthcoming </w:t>
      </w:r>
      <w:r w:rsidRPr="00941ABA">
        <w:rPr>
          <w:rFonts w:ascii="Agenda Bold" w:hAnsi="Agenda Bold" w:cs="Agenda Bold"/>
          <w:b/>
          <w:bCs/>
          <w:color w:val="000000"/>
          <w:sz w:val="22"/>
          <w:szCs w:val="22"/>
        </w:rPr>
        <w:t xml:space="preserve">Food Strategy White Paper </w:t>
      </w:r>
      <w:r w:rsidRPr="00941ABA">
        <w:rPr>
          <w:rFonts w:ascii="Agenda Regular" w:hAnsi="Agenda Regular" w:cs="Agenda Regular"/>
          <w:color w:val="000000"/>
          <w:sz w:val="22"/>
          <w:szCs w:val="22"/>
        </w:rPr>
        <w:t xml:space="preserve">will take forward recommendations from Henry Dimbleby’s independent review towards a National Food Strategy to help ensure that everyone can access, understand, and enjoy the benefits of a healthy and sustainable diet. This includes looking at how consumers access information about food, drawing on programmes like the new £200m per year Holiday Activities and Food Programme, to not only provide children with enriching activities, but also nutritious food. This will support eligible children and families in some of the most disadvantaged areas to learn and improve their knowledge of health and nutrition, laying the foundations for a healthier and more sustainable future. </w:t>
      </w:r>
    </w:p>
    <w:p w14:paraId="1605F110" w14:textId="188D6F88" w:rsidR="000873B0" w:rsidRPr="00941ABA" w:rsidRDefault="000873B0" w:rsidP="00941ABA">
      <w:pPr>
        <w:pStyle w:val="Default"/>
        <w:jc w:val="both"/>
        <w:rPr>
          <w:rFonts w:ascii="Agenda Regular" w:hAnsi="Agenda Regular" w:cs="Agenda Regular"/>
          <w:sz w:val="22"/>
          <w:szCs w:val="22"/>
        </w:rPr>
      </w:pPr>
      <w:r w:rsidRPr="00941ABA">
        <w:rPr>
          <w:rFonts w:ascii="Agenda Regular" w:hAnsi="Agenda Regular" w:cs="Agenda Regular"/>
          <w:sz w:val="22"/>
          <w:szCs w:val="22"/>
        </w:rPr>
        <w:t xml:space="preserve">In line with Henry Dimbleby’s recommendations, a joint project will be launched between DfE and the Food Standards Agency to design and test a new approach for local authorities in assuring and supporting compliance with school food standards. The project will engage with multiple local authorities in March, with pilots expected to go live in September. Participating local authorities will include Blackpool Council, Lincolnshire County Council, Plymouth City Council and Nottingham City Council. The UK Government will promote accountability and transparency of school food arrangements by encouraging schools to complete a statement on their school websites, which sets out their whole school approach to food. The UK Government’s intention is that this will become mandatory when schools can do this effectively. </w:t>
      </w:r>
    </w:p>
    <w:p w14:paraId="44A53140" w14:textId="04FC735A" w:rsidR="000873B0" w:rsidRDefault="000873B0" w:rsidP="00941ABA">
      <w:pPr>
        <w:autoSpaceDE w:val="0"/>
        <w:autoSpaceDN w:val="0"/>
        <w:adjustRightInd w:val="0"/>
        <w:spacing w:after="0" w:line="240" w:lineRule="auto"/>
        <w:jc w:val="both"/>
        <w:rPr>
          <w:rFonts w:ascii="Agenda Regular" w:hAnsi="Agenda Regular" w:cs="Agenda Regular"/>
          <w:color w:val="000000"/>
        </w:rPr>
      </w:pPr>
    </w:p>
    <w:p w14:paraId="63E1E6FC" w14:textId="77777777" w:rsidR="00941ABA" w:rsidRPr="00941ABA" w:rsidRDefault="00941ABA" w:rsidP="00941ABA">
      <w:pPr>
        <w:autoSpaceDE w:val="0"/>
        <w:autoSpaceDN w:val="0"/>
        <w:adjustRightInd w:val="0"/>
        <w:spacing w:after="0" w:line="240" w:lineRule="auto"/>
        <w:jc w:val="both"/>
        <w:rPr>
          <w:rFonts w:ascii="Agenda Regular" w:hAnsi="Agenda Regular" w:cs="Agenda Regular"/>
          <w:color w:val="000000"/>
        </w:rPr>
      </w:pPr>
    </w:p>
    <w:p w14:paraId="6419F0E8" w14:textId="1A0EF5CA" w:rsidR="000873B0" w:rsidRPr="00941ABA" w:rsidRDefault="000873B0" w:rsidP="00941ABA">
      <w:pPr>
        <w:jc w:val="both"/>
        <w:rPr>
          <w:rFonts w:ascii="Agenda Regular" w:hAnsi="Agenda Regular" w:cs="Agenda Regular"/>
          <w:color w:val="000000"/>
        </w:rPr>
      </w:pPr>
      <w:r w:rsidRPr="00941ABA">
        <w:rPr>
          <w:rFonts w:ascii="Agenda Regular" w:hAnsi="Agenda Regular" w:cs="Agenda Regular"/>
          <w:color w:val="000000"/>
        </w:rPr>
        <w:t>Finally, given the UK ranks amongst the worst countries in Europe for obesity rates, there is a clear need to go</w:t>
      </w:r>
      <w:r w:rsidR="00941ABA">
        <w:rPr>
          <w:rFonts w:ascii="Agenda Regular" w:hAnsi="Agenda Regular" w:cs="Agenda Regular"/>
          <w:color w:val="000000"/>
        </w:rPr>
        <w:t xml:space="preserve"> </w:t>
      </w:r>
      <w:r w:rsidRPr="00941ABA">
        <w:rPr>
          <w:rFonts w:ascii="Agenda Regular" w:hAnsi="Agenda Regular" w:cs="Agenda Regular"/>
          <w:color w:val="000000"/>
        </w:rPr>
        <w:t xml:space="preserve">further </w:t>
      </w:r>
      <w:r w:rsidR="00941ABA">
        <w:rPr>
          <w:rFonts w:ascii="Agenda Regular" w:hAnsi="Agenda Regular" w:cs="Agenda Regular"/>
          <w:color w:val="000000"/>
        </w:rPr>
        <w:t xml:space="preserve">  </w:t>
      </w:r>
      <w:r w:rsidRPr="00941ABA">
        <w:rPr>
          <w:rFonts w:ascii="Agenda Regular" w:hAnsi="Agenda Regular" w:cs="Agenda Regular"/>
          <w:color w:val="000000"/>
        </w:rPr>
        <w:t>on prevention.</w:t>
      </w:r>
      <w:r w:rsidRPr="00941ABA">
        <w:rPr>
          <w:rFonts w:ascii="Agenda Regular" w:hAnsi="Agenda Regular" w:cs="Agenda Regular"/>
          <w:color w:val="000000"/>
          <w:position w:val="8"/>
          <w:vertAlign w:val="superscript"/>
        </w:rPr>
        <w:t xml:space="preserve">409 </w:t>
      </w:r>
      <w:r w:rsidRPr="00941ABA">
        <w:rPr>
          <w:rFonts w:ascii="Agenda Regular" w:hAnsi="Agenda Regular" w:cs="Agenda Regular"/>
          <w:color w:val="000000"/>
        </w:rPr>
        <w:t>The UK Government will take this forward by accepting Henry Dimbleby’s recommendation to trial a Community Eatwell programme by running a three-year pilot, building on highly successful models from around the world. The Produce Prescription programme in Washington DC, for example, allows doctors to prescribe vouchers for fresh fruit and vegetables, along with cooking lessons and nutritional education. The scheme has been shown to increase consumption of fruit and vegetables and improve nutritional understanding. Of the 120 patients who received vouchers between 2012 and 2017, 50% lost weight over the course of a prescription.</w:t>
      </w:r>
      <w:r w:rsidRPr="00941ABA">
        <w:rPr>
          <w:rFonts w:ascii="Agenda Regular" w:hAnsi="Agenda Regular" w:cs="Agenda Regular"/>
          <w:color w:val="000000"/>
          <w:position w:val="8"/>
          <w:vertAlign w:val="superscript"/>
        </w:rPr>
        <w:t xml:space="preserve">410 </w:t>
      </w:r>
      <w:r w:rsidRPr="00941ABA">
        <w:rPr>
          <w:rFonts w:ascii="Agenda Regular" w:hAnsi="Agenda Regular" w:cs="Agenda Regular"/>
          <w:color w:val="000000"/>
        </w:rPr>
        <w:t>Where Community Eatwell is piloted, GPs will be able to prescribe fruit and vegetables, as well as food-related education and social support to those suffering, or at risk of, diet-related illness or food insecurity.</w:t>
      </w:r>
    </w:p>
    <w:p w14:paraId="2DB0F7CD" w14:textId="77777777" w:rsidR="000873B0" w:rsidRPr="00941ABA" w:rsidRDefault="000873B0" w:rsidP="000873B0">
      <w:pPr>
        <w:autoSpaceDE w:val="0"/>
        <w:autoSpaceDN w:val="0"/>
        <w:adjustRightInd w:val="0"/>
        <w:spacing w:after="0" w:line="240" w:lineRule="auto"/>
        <w:rPr>
          <w:rFonts w:ascii="Agenda Light" w:hAnsi="Agenda Light" w:cs="Agenda Light"/>
          <w:color w:val="000000"/>
        </w:rPr>
      </w:pPr>
    </w:p>
    <w:p w14:paraId="0996360E" w14:textId="77777777" w:rsidR="000873B0" w:rsidRPr="00941ABA" w:rsidRDefault="000873B0" w:rsidP="000873B0">
      <w:pPr>
        <w:rPr>
          <w:rFonts w:ascii="Agenda Light" w:hAnsi="Agenda Light" w:cs="Agenda Light"/>
          <w:color w:val="000000"/>
        </w:rPr>
      </w:pPr>
      <w:r w:rsidRPr="00941ABA">
        <w:rPr>
          <w:rFonts w:ascii="Agenda Light" w:hAnsi="Agenda Light" w:cs="Agenda Light"/>
          <w:color w:val="000000"/>
        </w:rPr>
        <w:t xml:space="preserve">409 NHS England. </w:t>
      </w:r>
      <w:r w:rsidRPr="00941ABA">
        <w:rPr>
          <w:rFonts w:ascii="Agenda RegularItalic" w:hAnsi="Agenda RegularItalic" w:cs="Agenda RegularItalic"/>
          <w:i/>
          <w:iCs/>
          <w:color w:val="000000"/>
        </w:rPr>
        <w:t>The NHS Long Term Plan</w:t>
      </w:r>
      <w:r w:rsidRPr="00941ABA">
        <w:rPr>
          <w:rFonts w:ascii="Agenda Light" w:hAnsi="Agenda Light" w:cs="Agenda Light"/>
          <w:color w:val="000000"/>
        </w:rPr>
        <w:t xml:space="preserve">. p.36. 2019. </w:t>
      </w:r>
    </w:p>
    <w:p w14:paraId="01E3E5F1" w14:textId="3E818348" w:rsidR="000873B0" w:rsidRPr="00941ABA" w:rsidRDefault="000873B0" w:rsidP="000873B0">
      <w:r w:rsidRPr="00941ABA">
        <w:rPr>
          <w:rFonts w:ascii="Agenda Light" w:hAnsi="Agenda Light" w:cs="Agenda Light"/>
          <w:color w:val="000000"/>
        </w:rPr>
        <w:t xml:space="preserve">410 Henry Dimbleby. </w:t>
      </w:r>
      <w:r w:rsidRPr="00941ABA">
        <w:rPr>
          <w:rFonts w:ascii="Agenda RegularItalic" w:hAnsi="Agenda RegularItalic" w:cs="Agenda RegularItalic"/>
          <w:i/>
          <w:iCs/>
          <w:color w:val="000000"/>
          <w:u w:val="single"/>
        </w:rPr>
        <w:t>The National Food Strategy Independent Review</w:t>
      </w:r>
      <w:r w:rsidRPr="00941ABA">
        <w:rPr>
          <w:rFonts w:ascii="Agenda Light" w:hAnsi="Agenda Light" w:cs="Agenda Light"/>
          <w:color w:val="000000"/>
        </w:rPr>
        <w:t>. p.153. 2021.</w:t>
      </w:r>
    </w:p>
    <w:sectPr w:rsidR="000873B0" w:rsidRPr="00941ABA" w:rsidSect="00941A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da RegularItalic">
    <w:altName w:val="Agenda RegularItalic"/>
    <w:panose1 w:val="00000000000000000000"/>
    <w:charset w:val="00"/>
    <w:family w:val="swiss"/>
    <w:notTrueType/>
    <w:pitch w:val="default"/>
    <w:sig w:usb0="00000003" w:usb1="00000000" w:usb2="00000000" w:usb3="00000000" w:csb0="00000001" w:csb1="00000000"/>
  </w:font>
  <w:font w:name="Agenda Regular">
    <w:altName w:val="Calibri"/>
    <w:panose1 w:val="00000000000000000000"/>
    <w:charset w:val="00"/>
    <w:family w:val="swiss"/>
    <w:notTrueType/>
    <w:pitch w:val="default"/>
    <w:sig w:usb0="00000003" w:usb1="00000000" w:usb2="00000000" w:usb3="00000000" w:csb0="00000001" w:csb1="00000000"/>
  </w:font>
  <w:font w:name="Agenda Bold">
    <w:altName w:val="Calibri"/>
    <w:panose1 w:val="00000000000000000000"/>
    <w:charset w:val="00"/>
    <w:family w:val="swiss"/>
    <w:notTrueType/>
    <w:pitch w:val="default"/>
    <w:sig w:usb0="00000003" w:usb1="00000000" w:usb2="00000000" w:usb3="00000000" w:csb0="00000001" w:csb1="00000000"/>
  </w:font>
  <w:font w:name="Agenda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B0"/>
    <w:rsid w:val="00007318"/>
    <w:rsid w:val="000873B0"/>
    <w:rsid w:val="007215E7"/>
    <w:rsid w:val="00847352"/>
    <w:rsid w:val="00941ABA"/>
    <w:rsid w:val="00A73ADA"/>
    <w:rsid w:val="00C84CAC"/>
    <w:rsid w:val="00EF5F80"/>
    <w:rsid w:val="00FC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A6A8"/>
  <w15:chartTrackingRefBased/>
  <w15:docId w15:val="{A77827FB-3984-45C3-AA4A-7F452FF8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3B0"/>
    <w:pPr>
      <w:autoSpaceDE w:val="0"/>
      <w:autoSpaceDN w:val="0"/>
      <w:adjustRightInd w:val="0"/>
      <w:spacing w:after="0" w:line="240" w:lineRule="auto"/>
    </w:pPr>
    <w:rPr>
      <w:rFonts w:ascii="Agenda RegularItalic" w:hAnsi="Agenda RegularItalic" w:cs="Agenda RegularItalic"/>
      <w:color w:val="000000"/>
      <w:sz w:val="24"/>
      <w:szCs w:val="24"/>
    </w:rPr>
  </w:style>
  <w:style w:type="paragraph" w:customStyle="1" w:styleId="CM194">
    <w:name w:val="CM194"/>
    <w:basedOn w:val="Default"/>
    <w:next w:val="Default"/>
    <w:uiPriority w:val="99"/>
    <w:rsid w:val="000873B0"/>
    <w:rPr>
      <w:rFonts w:cstheme="minorBidi"/>
      <w:color w:val="auto"/>
    </w:rPr>
  </w:style>
  <w:style w:type="paragraph" w:customStyle="1" w:styleId="CM195">
    <w:name w:val="CM195"/>
    <w:basedOn w:val="Default"/>
    <w:next w:val="Default"/>
    <w:uiPriority w:val="99"/>
    <w:rsid w:val="000873B0"/>
    <w:rPr>
      <w:rFonts w:cstheme="minorBidi"/>
      <w:color w:val="auto"/>
    </w:rPr>
  </w:style>
  <w:style w:type="character" w:styleId="Hyperlink">
    <w:name w:val="Hyperlink"/>
    <w:basedOn w:val="DefaultParagraphFont"/>
    <w:uiPriority w:val="99"/>
    <w:unhideWhenUsed/>
    <w:rsid w:val="000873B0"/>
    <w:rPr>
      <w:color w:val="0563C1" w:themeColor="hyperlink"/>
      <w:u w:val="single"/>
    </w:rPr>
  </w:style>
  <w:style w:type="character" w:styleId="UnresolvedMention">
    <w:name w:val="Unresolved Mention"/>
    <w:basedOn w:val="DefaultParagraphFont"/>
    <w:uiPriority w:val="99"/>
    <w:semiHidden/>
    <w:unhideWhenUsed/>
    <w:rsid w:val="0008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1052060/Levelling_Up_White_Paper.pdf"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6" ma:contentTypeDescription="Create a new document." ma:contentTypeScope="" ma:versionID="aa63ab38c6c45e9a56de43db7be15e7f">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0e2e86d8d65ac32e01bb43a75a2b744c"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3cfac471-4577-4682-ace2-27119004fb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848D65-7DB1-49B6-95F8-A97E0162F8F8}"/>
</file>

<file path=customXml/itemProps2.xml><?xml version="1.0" encoding="utf-8"?>
<ds:datastoreItem xmlns:ds="http://schemas.openxmlformats.org/officeDocument/2006/customXml" ds:itemID="{4D566075-B671-434D-8A72-47CDB78A5CC8}"/>
</file>

<file path=customXml/itemProps3.xml><?xml version="1.0" encoding="utf-8"?>
<ds:datastoreItem xmlns:ds="http://schemas.openxmlformats.org/officeDocument/2006/customXml" ds:itemID="{D725E468-EF01-438B-A3ED-3DDE7BBE0686}"/>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2640</Characters>
  <Application>Microsoft Office Word</Application>
  <DocSecurity>4</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Joanne Howling | Healthy You</cp:lastModifiedBy>
  <cp:revision>2</cp:revision>
  <cp:lastPrinted>2022-04-23T09:02:00Z</cp:lastPrinted>
  <dcterms:created xsi:type="dcterms:W3CDTF">2022-04-23T09:03:00Z</dcterms:created>
  <dcterms:modified xsi:type="dcterms:W3CDTF">2022-04-23T09:03:00Z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0x01010013445928B83D724B859E8E15B78DF8A5</vt:lpwstr>
  </property>
</Properties>
</file>