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ED16" w14:textId="250BC9DE" w:rsidR="005E4A33" w:rsidRPr="00765BAA" w:rsidRDefault="00902682" w:rsidP="00902682">
      <w:pPr>
        <w:jc w:val="center"/>
        <w:rPr>
          <w:b/>
          <w:bCs/>
          <w:sz w:val="32"/>
          <w:szCs w:val="32"/>
        </w:rPr>
      </w:pPr>
      <w:r w:rsidRPr="00753989">
        <w:rPr>
          <w:b/>
          <w:bCs/>
          <w:sz w:val="32"/>
          <w:szCs w:val="32"/>
        </w:rPr>
        <w:t>East Cambridgeshire District Council in conjunction with The Cambridgeshire PSHE Service and the Cambridgeshire Police Children and Young People’s Team</w:t>
      </w:r>
    </w:p>
    <w:p w14:paraId="3C9C3BC7" w14:textId="4A7A4486" w:rsidR="005E4A33" w:rsidRDefault="001049A5" w:rsidP="00A20DA0">
      <w:pPr>
        <w:jc w:val="center"/>
        <w:rPr>
          <w:b/>
          <w:bCs/>
        </w:rPr>
      </w:pPr>
      <w:r>
        <w:rPr>
          <w:noProof/>
        </w:rPr>
        <w:drawing>
          <wp:anchor distT="0" distB="0" distL="114300" distR="114300" simplePos="0" relativeHeight="251658240" behindDoc="1" locked="0" layoutInCell="1" allowOverlap="1" wp14:anchorId="62E59E8A" wp14:editId="2F47ED49">
            <wp:simplePos x="0" y="0"/>
            <wp:positionH relativeFrom="column">
              <wp:posOffset>3143250</wp:posOffset>
            </wp:positionH>
            <wp:positionV relativeFrom="paragraph">
              <wp:posOffset>4445</wp:posOffset>
            </wp:positionV>
            <wp:extent cx="3225165" cy="944880"/>
            <wp:effectExtent l="0" t="0" r="0" b="7620"/>
            <wp:wrapTight wrapText="bothSides">
              <wp:wrapPolygon edited="0">
                <wp:start x="0" y="0"/>
                <wp:lineTo x="0" y="21339"/>
                <wp:lineTo x="21434" y="21339"/>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165" cy="944880"/>
                    </a:xfrm>
                    <a:prstGeom prst="rect">
                      <a:avLst/>
                    </a:prstGeom>
                    <a:noFill/>
                  </pic:spPr>
                </pic:pic>
              </a:graphicData>
            </a:graphic>
          </wp:anchor>
        </w:drawing>
      </w:r>
    </w:p>
    <w:p w14:paraId="54D22C26" w14:textId="77777777" w:rsidR="001049A5" w:rsidRDefault="001049A5" w:rsidP="005E4A33">
      <w:pPr>
        <w:rPr>
          <w:b/>
          <w:bCs/>
        </w:rPr>
      </w:pPr>
    </w:p>
    <w:p w14:paraId="4BDBD5E5" w14:textId="77777777" w:rsidR="001049A5" w:rsidRDefault="001049A5" w:rsidP="005E4A33">
      <w:pPr>
        <w:rPr>
          <w:b/>
          <w:bCs/>
        </w:rPr>
      </w:pPr>
    </w:p>
    <w:p w14:paraId="11C9057C" w14:textId="1DF49A9A" w:rsidR="005E4A33" w:rsidRDefault="005E4A33" w:rsidP="005E4A33">
      <w:r>
        <w:rPr>
          <w:b/>
          <w:bCs/>
        </w:rPr>
        <w:t>Contact:</w:t>
      </w:r>
      <w:r w:rsidRPr="0097079E">
        <w:t xml:space="preserve"> </w:t>
      </w:r>
    </w:p>
    <w:p w14:paraId="34B3FB5A" w14:textId="13877B5D" w:rsidR="005E4A33" w:rsidRPr="00EC259D" w:rsidRDefault="00AE688E" w:rsidP="00C40F28">
      <w:pPr>
        <w:rPr>
          <w:color w:val="0563C1" w:themeColor="hyperlink"/>
          <w:u w:val="single"/>
        </w:rPr>
      </w:pPr>
      <w:hyperlink r:id="rId9" w:history="1">
        <w:r w:rsidR="00EC5400" w:rsidRPr="00827146">
          <w:rPr>
            <w:rStyle w:val="Hyperlink"/>
            <w:b/>
            <w:bCs/>
          </w:rPr>
          <w:t>Emma.Graves-Brown@eastcambs.gov.uk</w:t>
        </w:r>
      </w:hyperlink>
    </w:p>
    <w:tbl>
      <w:tblPr>
        <w:tblStyle w:val="TableGrid"/>
        <w:tblW w:w="0" w:type="auto"/>
        <w:tblLook w:val="04A0" w:firstRow="1" w:lastRow="0" w:firstColumn="1" w:lastColumn="0" w:noHBand="0" w:noVBand="1"/>
      </w:tblPr>
      <w:tblGrid>
        <w:gridCol w:w="4649"/>
        <w:gridCol w:w="4649"/>
        <w:gridCol w:w="4650"/>
      </w:tblGrid>
      <w:tr w:rsidR="00F96D21" w14:paraId="1F5F1EF5" w14:textId="77777777" w:rsidTr="00F96D21">
        <w:tc>
          <w:tcPr>
            <w:tcW w:w="4649" w:type="dxa"/>
          </w:tcPr>
          <w:p w14:paraId="7200096F" w14:textId="323BF516" w:rsidR="00F96D21" w:rsidRPr="00F96D21" w:rsidRDefault="00F96D21">
            <w:pPr>
              <w:rPr>
                <w:b/>
                <w:bCs/>
              </w:rPr>
            </w:pPr>
            <w:r w:rsidRPr="00F96D21">
              <w:rPr>
                <w:b/>
                <w:bCs/>
              </w:rPr>
              <w:t>Key Stage</w:t>
            </w:r>
          </w:p>
        </w:tc>
        <w:tc>
          <w:tcPr>
            <w:tcW w:w="4649" w:type="dxa"/>
          </w:tcPr>
          <w:p w14:paraId="0676CBE2" w14:textId="042EB090" w:rsidR="00F96D21" w:rsidRPr="00F96D21" w:rsidRDefault="00F96D21">
            <w:pPr>
              <w:rPr>
                <w:b/>
                <w:bCs/>
              </w:rPr>
            </w:pPr>
            <w:r w:rsidRPr="00F96D21">
              <w:rPr>
                <w:b/>
                <w:bCs/>
              </w:rPr>
              <w:t>Type of Intervention</w:t>
            </w:r>
          </w:p>
        </w:tc>
        <w:tc>
          <w:tcPr>
            <w:tcW w:w="4650" w:type="dxa"/>
          </w:tcPr>
          <w:p w14:paraId="16784797" w14:textId="58D94DE8" w:rsidR="00F96D21" w:rsidRPr="00F96D21" w:rsidRDefault="00F96D21">
            <w:pPr>
              <w:rPr>
                <w:b/>
                <w:bCs/>
              </w:rPr>
            </w:pPr>
            <w:r w:rsidRPr="00F96D21">
              <w:rPr>
                <w:b/>
                <w:bCs/>
              </w:rPr>
              <w:t>Description of Content</w:t>
            </w:r>
          </w:p>
        </w:tc>
      </w:tr>
      <w:tr w:rsidR="00F96D21" w14:paraId="6E93E13F" w14:textId="77777777" w:rsidTr="00F96D21">
        <w:tc>
          <w:tcPr>
            <w:tcW w:w="4649" w:type="dxa"/>
          </w:tcPr>
          <w:p w14:paraId="1F337233" w14:textId="2C1546FC" w:rsidR="00F96D21" w:rsidRPr="00E24CE0" w:rsidRDefault="00804DE8">
            <w:pPr>
              <w:rPr>
                <w:b/>
                <w:bCs/>
                <w:color w:val="FF0000"/>
              </w:rPr>
            </w:pPr>
            <w:r w:rsidRPr="00E24CE0">
              <w:rPr>
                <w:b/>
                <w:bCs/>
                <w:color w:val="FF0000"/>
              </w:rPr>
              <w:t>KS1</w:t>
            </w:r>
            <w:r w:rsidR="00CB772D" w:rsidRPr="00E24CE0">
              <w:rPr>
                <w:b/>
                <w:bCs/>
                <w:color w:val="FF0000"/>
              </w:rPr>
              <w:t>-2</w:t>
            </w:r>
          </w:p>
        </w:tc>
        <w:tc>
          <w:tcPr>
            <w:tcW w:w="4649" w:type="dxa"/>
          </w:tcPr>
          <w:p w14:paraId="0196312C" w14:textId="77777777" w:rsidR="008C0188" w:rsidRDefault="008C0188" w:rsidP="008C0188">
            <w:pPr>
              <w:rPr>
                <w:b/>
                <w:bCs/>
                <w:color w:val="FF0000"/>
              </w:rPr>
            </w:pPr>
            <w:r>
              <w:rPr>
                <w:rFonts w:ascii="Calibri" w:eastAsia="Times New Roman" w:hAnsi="Calibri" w:cs="Calibri"/>
                <w:color w:val="000000"/>
                <w:lang w:eastAsia="en-GB"/>
              </w:rPr>
              <w:t>The Community Eyes and Ears Primary Package comprises of self-delivery modules each with a resource pack containing a presentation with embedded videos, supplementary activity sheets and a detailed lesson guide.</w:t>
            </w:r>
          </w:p>
          <w:p w14:paraId="13B0D629" w14:textId="6B09C8F2" w:rsidR="008C0188" w:rsidRDefault="008C0188" w:rsidP="006203F7"/>
        </w:tc>
        <w:tc>
          <w:tcPr>
            <w:tcW w:w="4650" w:type="dxa"/>
          </w:tcPr>
          <w:p w14:paraId="45F65452" w14:textId="77777777" w:rsidR="00E35FB1" w:rsidRDefault="00E35FB1" w:rsidP="00E35FB1">
            <w:pPr>
              <w:rPr>
                <w:rFonts w:ascii="Calibri" w:eastAsia="Times New Roman" w:hAnsi="Calibri" w:cs="Calibri"/>
                <w:color w:val="000000"/>
                <w:lang w:eastAsia="en-GB"/>
              </w:rPr>
            </w:pPr>
            <w:r>
              <w:rPr>
                <w:rFonts w:ascii="Calibri" w:eastAsia="Times New Roman" w:hAnsi="Calibri" w:cs="Calibri"/>
                <w:color w:val="000000"/>
                <w:lang w:eastAsia="en-GB"/>
              </w:rPr>
              <w:t>The Eyes and Ears Primary Package is targeted at Y5/6 and supports the requirements of the Relationships and Health Education curriculum and focuses on the importance of teaching personal safety. There are four modules in total, with each one containing interactive tasks and a variety of scenarios to promote discussion and a positive approach to managing risk.</w:t>
            </w:r>
          </w:p>
          <w:p w14:paraId="160D998B" w14:textId="77777777" w:rsidR="00E35FB1" w:rsidRDefault="00E35FB1" w:rsidP="00E35FB1">
            <w:pPr>
              <w:rPr>
                <w:rFonts w:ascii="Calibri" w:eastAsia="Times New Roman" w:hAnsi="Calibri" w:cs="Calibri"/>
                <w:color w:val="000000"/>
                <w:lang w:eastAsia="en-GB"/>
              </w:rPr>
            </w:pPr>
            <w:r>
              <w:rPr>
                <w:rFonts w:ascii="Calibri" w:eastAsia="Times New Roman" w:hAnsi="Calibri" w:cs="Calibri"/>
                <w:color w:val="000000"/>
                <w:lang w:eastAsia="en-GB"/>
              </w:rPr>
              <w:t>The themes are as follows:</w:t>
            </w:r>
          </w:p>
          <w:p w14:paraId="22C8357A" w14:textId="77777777" w:rsidR="00E35FB1" w:rsidRDefault="00E35FB1" w:rsidP="00E35FB1">
            <w:pPr>
              <w:rPr>
                <w:rFonts w:ascii="Calibri" w:eastAsia="Times New Roman" w:hAnsi="Calibri" w:cs="Calibri"/>
                <w:color w:val="000000"/>
                <w:lang w:eastAsia="en-GB"/>
              </w:rPr>
            </w:pPr>
            <w:r>
              <w:rPr>
                <w:rFonts w:ascii="Calibri" w:eastAsia="Times New Roman" w:hAnsi="Calibri" w:cs="Calibri"/>
                <w:color w:val="000000"/>
                <w:lang w:eastAsia="en-GB"/>
              </w:rPr>
              <w:t xml:space="preserve">Module 1: Risk Taking Behaviour -Is It Worth It? </w:t>
            </w:r>
          </w:p>
          <w:p w14:paraId="75B843D6" w14:textId="77777777" w:rsidR="00E35FB1" w:rsidRDefault="00E35FB1" w:rsidP="00E35FB1">
            <w:pPr>
              <w:rPr>
                <w:rFonts w:ascii="Calibri" w:eastAsia="Times New Roman" w:hAnsi="Calibri" w:cs="Calibri"/>
                <w:color w:val="000000"/>
                <w:lang w:eastAsia="en-GB"/>
              </w:rPr>
            </w:pPr>
            <w:r>
              <w:rPr>
                <w:rFonts w:ascii="Calibri" w:eastAsia="Times New Roman" w:hAnsi="Calibri" w:cs="Calibri"/>
                <w:color w:val="000000"/>
                <w:lang w:eastAsia="en-GB"/>
              </w:rPr>
              <w:t>Module 2: Keeping Safe Online</w:t>
            </w:r>
          </w:p>
          <w:p w14:paraId="390F63A0" w14:textId="77777777" w:rsidR="00E35FB1" w:rsidRDefault="00E35FB1" w:rsidP="00E35FB1">
            <w:pPr>
              <w:rPr>
                <w:rFonts w:ascii="Calibri" w:eastAsia="Times New Roman" w:hAnsi="Calibri" w:cs="Calibri"/>
                <w:color w:val="000000"/>
                <w:lang w:eastAsia="en-GB"/>
              </w:rPr>
            </w:pPr>
            <w:r>
              <w:rPr>
                <w:rFonts w:ascii="Calibri" w:eastAsia="Times New Roman" w:hAnsi="Calibri" w:cs="Calibri"/>
                <w:color w:val="000000"/>
                <w:lang w:eastAsia="en-GB"/>
              </w:rPr>
              <w:t>Module 3: Friends Against Scams</w:t>
            </w:r>
          </w:p>
          <w:p w14:paraId="1E6DC6C5" w14:textId="77777777" w:rsidR="00E35FB1" w:rsidRDefault="00E35FB1" w:rsidP="00E35FB1">
            <w:pPr>
              <w:rPr>
                <w:rFonts w:ascii="Calibri" w:eastAsia="Times New Roman" w:hAnsi="Calibri" w:cs="Calibri"/>
                <w:color w:val="000000"/>
                <w:lang w:eastAsia="en-GB"/>
              </w:rPr>
            </w:pPr>
            <w:r>
              <w:rPr>
                <w:rFonts w:ascii="Calibri" w:eastAsia="Times New Roman" w:hAnsi="Calibri" w:cs="Calibri"/>
                <w:color w:val="000000"/>
                <w:lang w:eastAsia="en-GB"/>
              </w:rPr>
              <w:t>Module 4: Playing Games and Taking Chances</w:t>
            </w:r>
          </w:p>
          <w:p w14:paraId="746F3EA4" w14:textId="698C8B88" w:rsidR="00E35FB1" w:rsidRDefault="00E35FB1" w:rsidP="00E35FB1">
            <w:pPr>
              <w:rPr>
                <w:rFonts w:ascii="Calibri" w:eastAsia="Times New Roman" w:hAnsi="Calibri" w:cs="Calibri"/>
                <w:color w:val="000000"/>
                <w:lang w:eastAsia="en-GB"/>
              </w:rPr>
            </w:pPr>
            <w:r>
              <w:rPr>
                <w:rFonts w:ascii="Calibri" w:eastAsia="Times New Roman" w:hAnsi="Calibri" w:cs="Calibri"/>
                <w:color w:val="000000"/>
                <w:lang w:eastAsia="en-GB"/>
              </w:rPr>
              <w:t xml:space="preserve">The estimated delivery time for each one </w:t>
            </w:r>
            <w:r w:rsidR="00736748">
              <w:rPr>
                <w:rFonts w:ascii="Calibri" w:eastAsia="Times New Roman" w:hAnsi="Calibri" w:cs="Calibri"/>
                <w:color w:val="000000"/>
                <w:lang w:eastAsia="en-GB"/>
              </w:rPr>
              <w:t>is 60</w:t>
            </w:r>
            <w:r>
              <w:rPr>
                <w:rFonts w:ascii="Calibri" w:eastAsia="Times New Roman" w:hAnsi="Calibri" w:cs="Calibri"/>
                <w:color w:val="000000"/>
                <w:lang w:eastAsia="en-GB"/>
              </w:rPr>
              <w:t xml:space="preserve"> minutes.</w:t>
            </w:r>
          </w:p>
          <w:p w14:paraId="6AC319EE" w14:textId="77777777" w:rsidR="00E35FB1" w:rsidRDefault="00E35FB1" w:rsidP="00E35FB1">
            <w:pPr>
              <w:rPr>
                <w:rFonts w:ascii="Calibri" w:eastAsia="Times New Roman" w:hAnsi="Calibri" w:cs="Calibri"/>
                <w:color w:val="000000"/>
                <w:lang w:eastAsia="en-GB"/>
              </w:rPr>
            </w:pPr>
            <w:r>
              <w:rPr>
                <w:rFonts w:ascii="Calibri" w:eastAsia="Times New Roman" w:hAnsi="Calibri" w:cs="Calibri"/>
                <w:color w:val="000000"/>
                <w:lang w:eastAsia="en-GB"/>
              </w:rPr>
              <w:t xml:space="preserve">To access these free and downloadable resources, email: </w:t>
            </w:r>
            <w:hyperlink r:id="rId10" w:history="1">
              <w:r w:rsidRPr="00827146">
                <w:rPr>
                  <w:rStyle w:val="Hyperlink"/>
                  <w:rFonts w:ascii="Calibri" w:eastAsia="Times New Roman" w:hAnsi="Calibri" w:cs="Calibri"/>
                  <w:lang w:eastAsia="en-GB"/>
                </w:rPr>
                <w:t>healthyschools@healthyyou.org.uk</w:t>
              </w:r>
            </w:hyperlink>
          </w:p>
          <w:p w14:paraId="59C69F25" w14:textId="77777777" w:rsidR="00E35FB1" w:rsidRDefault="00E35FB1" w:rsidP="00E35FB1">
            <w:pPr>
              <w:rPr>
                <w:rFonts w:ascii="Calibri" w:eastAsia="Times New Roman" w:hAnsi="Calibri" w:cs="Calibri"/>
                <w:color w:val="000000"/>
                <w:lang w:eastAsia="en-GB"/>
              </w:rPr>
            </w:pPr>
            <w:r>
              <w:rPr>
                <w:rFonts w:ascii="Calibri" w:eastAsia="Times New Roman" w:hAnsi="Calibri" w:cs="Calibri"/>
                <w:color w:val="000000"/>
                <w:lang w:eastAsia="en-GB"/>
              </w:rPr>
              <w:t>For more information visit:</w:t>
            </w:r>
          </w:p>
          <w:p w14:paraId="0214AF40" w14:textId="784EF7B9" w:rsidR="004E2F6D" w:rsidRPr="00E35FB1" w:rsidRDefault="00AE688E" w:rsidP="003544DF">
            <w:pPr>
              <w:rPr>
                <w:rFonts w:ascii="Calibri" w:eastAsia="Times New Roman" w:hAnsi="Calibri" w:cs="Calibri"/>
                <w:color w:val="000000"/>
                <w:lang w:eastAsia="en-GB"/>
              </w:rPr>
            </w:pPr>
            <w:hyperlink r:id="rId11" w:history="1">
              <w:r w:rsidR="00E35FB1">
                <w:rPr>
                  <w:rStyle w:val="Hyperlink"/>
                </w:rPr>
                <w:t>Community Eyes and Ears - Healthy Schools (healthyschoolscp.org.uk)</w:t>
              </w:r>
            </w:hyperlink>
          </w:p>
        </w:tc>
      </w:tr>
      <w:tr w:rsidR="00F96D21" w14:paraId="5F7AB053" w14:textId="77777777" w:rsidTr="00F96D21">
        <w:tc>
          <w:tcPr>
            <w:tcW w:w="4649" w:type="dxa"/>
          </w:tcPr>
          <w:p w14:paraId="3A35142B" w14:textId="7F658347" w:rsidR="00F96D21" w:rsidRPr="00E24CE0" w:rsidRDefault="00CB772D">
            <w:pPr>
              <w:rPr>
                <w:b/>
                <w:bCs/>
              </w:rPr>
            </w:pPr>
            <w:r w:rsidRPr="00E24CE0">
              <w:rPr>
                <w:b/>
                <w:bCs/>
                <w:color w:val="FF0000"/>
              </w:rPr>
              <w:lastRenderedPageBreak/>
              <w:t>KS3-4</w:t>
            </w:r>
          </w:p>
        </w:tc>
        <w:tc>
          <w:tcPr>
            <w:tcW w:w="4649" w:type="dxa"/>
          </w:tcPr>
          <w:p w14:paraId="0AD9A95F" w14:textId="77777777" w:rsidR="00635FE6" w:rsidRDefault="00635FE6" w:rsidP="00635FE6">
            <w:pPr>
              <w:rPr>
                <w:rFonts w:ascii="Calibri" w:eastAsia="Times New Roman" w:hAnsi="Calibri" w:cs="Calibri"/>
                <w:color w:val="000000"/>
                <w:lang w:eastAsia="en-GB"/>
              </w:rPr>
            </w:pPr>
            <w:r>
              <w:rPr>
                <w:rFonts w:ascii="Calibri" w:eastAsia="Times New Roman" w:hAnsi="Calibri" w:cs="Calibri"/>
                <w:color w:val="000000"/>
                <w:lang w:eastAsia="en-GB"/>
              </w:rPr>
              <w:t>The Community Eyes and Ears focus for Secondary students is Gaming and Gambling.</w:t>
            </w:r>
          </w:p>
          <w:p w14:paraId="21537DC7" w14:textId="3C449029" w:rsidR="00F96D21" w:rsidRPr="00635FE6" w:rsidRDefault="00635FE6" w:rsidP="00E0707A">
            <w:pPr>
              <w:rPr>
                <w:b/>
                <w:bCs/>
                <w:color w:val="FF0000"/>
              </w:rPr>
            </w:pPr>
            <w:r>
              <w:rPr>
                <w:rFonts w:ascii="Calibri" w:eastAsia="Times New Roman" w:hAnsi="Calibri" w:cs="Calibri"/>
                <w:color w:val="000000"/>
                <w:lang w:eastAsia="en-GB"/>
              </w:rPr>
              <w:t xml:space="preserve">This is a self-delivery module created in response to staff feedback and comprises of two presentations </w:t>
            </w:r>
            <w:r w:rsidR="00736748">
              <w:rPr>
                <w:rFonts w:ascii="Calibri" w:eastAsia="Times New Roman" w:hAnsi="Calibri" w:cs="Calibri"/>
                <w:color w:val="000000"/>
                <w:lang w:eastAsia="en-GB"/>
              </w:rPr>
              <w:t>(one</w:t>
            </w:r>
            <w:r>
              <w:rPr>
                <w:rFonts w:ascii="Calibri" w:eastAsia="Times New Roman" w:hAnsi="Calibri" w:cs="Calibri"/>
                <w:color w:val="000000"/>
                <w:lang w:eastAsia="en-GB"/>
              </w:rPr>
              <w:t xml:space="preserve"> for Gaming and the other for Gambling ) Each containing embedded videos, supplementary activity sheets and a detailed lesson guide.</w:t>
            </w:r>
          </w:p>
        </w:tc>
        <w:tc>
          <w:tcPr>
            <w:tcW w:w="4650" w:type="dxa"/>
          </w:tcPr>
          <w:p w14:paraId="5EAECE22" w14:textId="4D8523A8" w:rsidR="0039445A" w:rsidRDefault="009251F0" w:rsidP="0039445A">
            <w:pPr>
              <w:rPr>
                <w:rFonts w:ascii="Calibri" w:eastAsia="Times New Roman" w:hAnsi="Calibri" w:cs="Calibri"/>
                <w:color w:val="000000"/>
                <w:lang w:eastAsia="en-GB"/>
              </w:rPr>
            </w:pPr>
            <w:r w:rsidRPr="00131B69">
              <w:rPr>
                <w:rFonts w:cstheme="minorHAnsi"/>
              </w:rPr>
              <w:t xml:space="preserve"> </w:t>
            </w:r>
            <w:r w:rsidR="0039445A">
              <w:rPr>
                <w:rFonts w:ascii="Calibri" w:eastAsia="Times New Roman" w:hAnsi="Calibri" w:cs="Calibri"/>
                <w:color w:val="000000"/>
                <w:lang w:eastAsia="en-GB"/>
              </w:rPr>
              <w:t xml:space="preserve">The Eyes and Ears Secondary Module on Gaming and Gambling is designed to be delivered as part of a timetabled PSHE lesson or a themed </w:t>
            </w:r>
            <w:r w:rsidR="00AE688E">
              <w:rPr>
                <w:rFonts w:ascii="Calibri" w:eastAsia="Times New Roman" w:hAnsi="Calibri" w:cs="Calibri"/>
                <w:color w:val="000000"/>
                <w:lang w:eastAsia="en-GB"/>
              </w:rPr>
              <w:t>Conference Day</w:t>
            </w:r>
            <w:r w:rsidR="0039445A">
              <w:rPr>
                <w:rFonts w:ascii="Calibri" w:eastAsia="Times New Roman" w:hAnsi="Calibri" w:cs="Calibri"/>
                <w:color w:val="000000"/>
                <w:lang w:eastAsia="en-GB"/>
              </w:rPr>
              <w:t>. There are two lessons – one on Gaming and the other Gambling; each will take approximately 60 minutes to deliver.</w:t>
            </w:r>
          </w:p>
          <w:p w14:paraId="7326CE7B" w14:textId="77777777" w:rsidR="0039445A" w:rsidRDefault="0039445A" w:rsidP="0039445A">
            <w:pPr>
              <w:rPr>
                <w:rFonts w:ascii="Calibri" w:eastAsia="Times New Roman" w:hAnsi="Calibri" w:cs="Calibri"/>
                <w:color w:val="000000"/>
                <w:lang w:eastAsia="en-GB"/>
              </w:rPr>
            </w:pPr>
            <w:r>
              <w:rPr>
                <w:rFonts w:ascii="Calibri" w:eastAsia="Times New Roman" w:hAnsi="Calibri" w:cs="Calibri"/>
                <w:color w:val="000000"/>
                <w:lang w:eastAsia="en-GB"/>
              </w:rPr>
              <w:t>The following questions are addressed:</w:t>
            </w:r>
          </w:p>
          <w:p w14:paraId="32CC469C" w14:textId="77777777" w:rsidR="0039445A" w:rsidRDefault="0039445A" w:rsidP="0039445A">
            <w:pPr>
              <w:rPr>
                <w:rFonts w:ascii="Calibri" w:eastAsia="Times New Roman" w:hAnsi="Calibri" w:cs="Calibri"/>
                <w:b/>
                <w:bCs/>
                <w:color w:val="000000"/>
                <w:lang w:eastAsia="en-GB"/>
              </w:rPr>
            </w:pPr>
            <w:r>
              <w:rPr>
                <w:rFonts w:ascii="Calibri" w:eastAsia="Times New Roman" w:hAnsi="Calibri" w:cs="Calibri"/>
                <w:b/>
                <w:bCs/>
                <w:color w:val="000000"/>
                <w:lang w:eastAsia="en-GB"/>
              </w:rPr>
              <w:t>Gaming:</w:t>
            </w:r>
          </w:p>
          <w:p w14:paraId="61BDA74F" w14:textId="77777777" w:rsidR="0039445A" w:rsidRDefault="0039445A" w:rsidP="0039445A">
            <w:pPr>
              <w:pStyle w:val="ListParagraph"/>
              <w:numPr>
                <w:ilvl w:val="0"/>
                <w:numId w:val="14"/>
              </w:numPr>
              <w:rPr>
                <w:rFonts w:ascii="Calibri" w:eastAsia="Times New Roman" w:hAnsi="Calibri" w:cs="Calibri"/>
                <w:color w:val="000000"/>
                <w:lang w:eastAsia="en-GB"/>
              </w:rPr>
            </w:pPr>
            <w:r w:rsidRPr="00587D4F">
              <w:rPr>
                <w:rFonts w:ascii="Calibri" w:eastAsia="Times New Roman" w:hAnsi="Calibri" w:cs="Calibri"/>
                <w:color w:val="000000"/>
                <w:lang w:eastAsia="en-GB"/>
              </w:rPr>
              <w:t>How do people feel when they play games</w:t>
            </w:r>
            <w:r>
              <w:rPr>
                <w:rFonts w:ascii="Calibri" w:eastAsia="Times New Roman" w:hAnsi="Calibri" w:cs="Calibri"/>
                <w:color w:val="000000"/>
                <w:lang w:eastAsia="en-GB"/>
              </w:rPr>
              <w:t>?</w:t>
            </w:r>
          </w:p>
          <w:p w14:paraId="43C87D55" w14:textId="77777777" w:rsidR="0039445A" w:rsidRDefault="0039445A" w:rsidP="0039445A">
            <w:pPr>
              <w:pStyle w:val="ListParagraph"/>
              <w:numPr>
                <w:ilvl w:val="0"/>
                <w:numId w:val="14"/>
              </w:numPr>
              <w:rPr>
                <w:rFonts w:ascii="Calibri" w:eastAsia="Times New Roman" w:hAnsi="Calibri" w:cs="Calibri"/>
                <w:color w:val="000000"/>
                <w:lang w:eastAsia="en-GB"/>
              </w:rPr>
            </w:pPr>
            <w:r>
              <w:rPr>
                <w:rFonts w:ascii="Calibri" w:eastAsia="Times New Roman" w:hAnsi="Calibri" w:cs="Calibri"/>
                <w:color w:val="000000"/>
                <w:lang w:eastAsia="en-GB"/>
              </w:rPr>
              <w:t>What are the good things about gaming?</w:t>
            </w:r>
          </w:p>
          <w:p w14:paraId="7D7CF47A" w14:textId="77777777" w:rsidR="0039445A" w:rsidRDefault="0039445A" w:rsidP="0039445A">
            <w:pPr>
              <w:pStyle w:val="ListParagraph"/>
              <w:numPr>
                <w:ilvl w:val="0"/>
                <w:numId w:val="14"/>
              </w:numPr>
              <w:rPr>
                <w:rFonts w:ascii="Calibri" w:eastAsia="Times New Roman" w:hAnsi="Calibri" w:cs="Calibri"/>
                <w:color w:val="000000"/>
                <w:lang w:eastAsia="en-GB"/>
              </w:rPr>
            </w:pPr>
            <w:r>
              <w:rPr>
                <w:rFonts w:ascii="Calibri" w:eastAsia="Times New Roman" w:hAnsi="Calibri" w:cs="Calibri"/>
                <w:color w:val="000000"/>
                <w:lang w:eastAsia="en-GB"/>
              </w:rPr>
              <w:t>When might online gaming get risky?</w:t>
            </w:r>
          </w:p>
          <w:p w14:paraId="3DBBDAEA" w14:textId="77777777" w:rsidR="0039445A" w:rsidRDefault="0039445A" w:rsidP="0039445A">
            <w:pPr>
              <w:pStyle w:val="ListParagraph"/>
              <w:numPr>
                <w:ilvl w:val="0"/>
                <w:numId w:val="14"/>
              </w:numPr>
              <w:rPr>
                <w:rFonts w:ascii="Calibri" w:eastAsia="Times New Roman" w:hAnsi="Calibri" w:cs="Calibri"/>
                <w:color w:val="000000"/>
                <w:lang w:eastAsia="en-GB"/>
              </w:rPr>
            </w:pPr>
            <w:r>
              <w:rPr>
                <w:rFonts w:ascii="Calibri" w:eastAsia="Times New Roman" w:hAnsi="Calibri" w:cs="Calibri"/>
                <w:color w:val="000000"/>
                <w:lang w:eastAsia="en-GB"/>
              </w:rPr>
              <w:t>Can gaming include risks with money?</w:t>
            </w:r>
          </w:p>
          <w:p w14:paraId="6ACA20BE" w14:textId="77777777" w:rsidR="0039445A" w:rsidRDefault="0039445A" w:rsidP="0039445A">
            <w:pPr>
              <w:pStyle w:val="ListParagraph"/>
              <w:numPr>
                <w:ilvl w:val="0"/>
                <w:numId w:val="14"/>
              </w:numPr>
              <w:rPr>
                <w:rFonts w:ascii="Calibri" w:eastAsia="Times New Roman" w:hAnsi="Calibri" w:cs="Calibri"/>
                <w:color w:val="000000"/>
                <w:lang w:eastAsia="en-GB"/>
              </w:rPr>
            </w:pPr>
            <w:r>
              <w:rPr>
                <w:rFonts w:ascii="Calibri" w:eastAsia="Times New Roman" w:hAnsi="Calibri" w:cs="Calibri"/>
                <w:color w:val="000000"/>
                <w:lang w:eastAsia="en-GB"/>
              </w:rPr>
              <w:t>What should gamers consider if they are thinking about buying a loot box?</w:t>
            </w:r>
          </w:p>
          <w:p w14:paraId="6756FBC7" w14:textId="77777777" w:rsidR="0039445A" w:rsidRDefault="0039445A" w:rsidP="0039445A">
            <w:pPr>
              <w:pStyle w:val="ListParagraph"/>
              <w:numPr>
                <w:ilvl w:val="0"/>
                <w:numId w:val="14"/>
              </w:numPr>
              <w:rPr>
                <w:rFonts w:ascii="Calibri" w:eastAsia="Times New Roman" w:hAnsi="Calibri" w:cs="Calibri"/>
                <w:color w:val="000000"/>
                <w:lang w:eastAsia="en-GB"/>
              </w:rPr>
            </w:pPr>
            <w:r>
              <w:rPr>
                <w:rFonts w:ascii="Calibri" w:eastAsia="Times New Roman" w:hAnsi="Calibri" w:cs="Calibri"/>
                <w:color w:val="000000"/>
                <w:lang w:eastAsia="en-GB"/>
              </w:rPr>
              <w:t>Is buying loot boxes gambling?</w:t>
            </w:r>
          </w:p>
          <w:p w14:paraId="0F05EAB8" w14:textId="77777777" w:rsidR="0039445A" w:rsidRDefault="0039445A" w:rsidP="0039445A">
            <w:pPr>
              <w:pStyle w:val="ListParagraph"/>
              <w:numPr>
                <w:ilvl w:val="0"/>
                <w:numId w:val="14"/>
              </w:numPr>
              <w:rPr>
                <w:rFonts w:ascii="Calibri" w:eastAsia="Times New Roman" w:hAnsi="Calibri" w:cs="Calibri"/>
                <w:color w:val="000000"/>
                <w:lang w:eastAsia="en-GB"/>
              </w:rPr>
            </w:pPr>
            <w:r>
              <w:rPr>
                <w:rFonts w:ascii="Calibri" w:eastAsia="Times New Roman" w:hAnsi="Calibri" w:cs="Calibri"/>
                <w:color w:val="000000"/>
                <w:lang w:eastAsia="en-GB"/>
              </w:rPr>
              <w:t>What are the similarities between gaming and gambling</w:t>
            </w:r>
          </w:p>
          <w:p w14:paraId="710A5E1F" w14:textId="77777777" w:rsidR="0039445A" w:rsidRDefault="0039445A" w:rsidP="0039445A">
            <w:pPr>
              <w:rPr>
                <w:rFonts w:ascii="Calibri" w:eastAsia="Times New Roman" w:hAnsi="Calibri" w:cs="Calibri"/>
                <w:b/>
                <w:bCs/>
                <w:color w:val="000000"/>
                <w:lang w:eastAsia="en-GB"/>
              </w:rPr>
            </w:pPr>
            <w:r w:rsidRPr="00504D2C">
              <w:rPr>
                <w:rFonts w:ascii="Calibri" w:eastAsia="Times New Roman" w:hAnsi="Calibri" w:cs="Calibri"/>
                <w:b/>
                <w:bCs/>
                <w:color w:val="000000"/>
                <w:lang w:eastAsia="en-GB"/>
              </w:rPr>
              <w:t>Gambling</w:t>
            </w:r>
            <w:r>
              <w:rPr>
                <w:rFonts w:ascii="Calibri" w:eastAsia="Times New Roman" w:hAnsi="Calibri" w:cs="Calibri"/>
                <w:b/>
                <w:bCs/>
                <w:color w:val="000000"/>
                <w:lang w:eastAsia="en-GB"/>
              </w:rPr>
              <w:t>:</w:t>
            </w:r>
          </w:p>
          <w:p w14:paraId="35C9BDD4" w14:textId="77777777" w:rsidR="0039445A" w:rsidRPr="00B15FE4" w:rsidRDefault="0039445A" w:rsidP="0039445A">
            <w:pPr>
              <w:pStyle w:val="ListParagraph"/>
              <w:numPr>
                <w:ilvl w:val="0"/>
                <w:numId w:val="15"/>
              </w:numPr>
              <w:rPr>
                <w:rFonts w:ascii="Calibri" w:eastAsia="Times New Roman" w:hAnsi="Calibri" w:cs="Calibri"/>
                <w:b/>
                <w:bCs/>
                <w:color w:val="000000"/>
                <w:lang w:eastAsia="en-GB"/>
              </w:rPr>
            </w:pPr>
            <w:r>
              <w:rPr>
                <w:rFonts w:ascii="Calibri" w:eastAsia="Times New Roman" w:hAnsi="Calibri" w:cs="Calibri"/>
                <w:color w:val="000000"/>
                <w:lang w:eastAsia="en-GB"/>
              </w:rPr>
              <w:t>What do people think about gambling?</w:t>
            </w:r>
          </w:p>
          <w:p w14:paraId="17843D84" w14:textId="77777777" w:rsidR="0039445A" w:rsidRPr="00B15FE4" w:rsidRDefault="0039445A" w:rsidP="0039445A">
            <w:pPr>
              <w:pStyle w:val="ListParagraph"/>
              <w:numPr>
                <w:ilvl w:val="0"/>
                <w:numId w:val="15"/>
              </w:numPr>
              <w:rPr>
                <w:rFonts w:ascii="Calibri" w:eastAsia="Times New Roman" w:hAnsi="Calibri" w:cs="Calibri"/>
                <w:b/>
                <w:bCs/>
                <w:color w:val="000000"/>
                <w:lang w:eastAsia="en-GB"/>
              </w:rPr>
            </w:pPr>
            <w:r>
              <w:rPr>
                <w:rFonts w:ascii="Calibri" w:eastAsia="Times New Roman" w:hAnsi="Calibri" w:cs="Calibri"/>
                <w:color w:val="000000"/>
                <w:lang w:eastAsia="en-GB"/>
              </w:rPr>
              <w:t>What is gambling?</w:t>
            </w:r>
          </w:p>
          <w:p w14:paraId="4738C014" w14:textId="77777777" w:rsidR="0039445A" w:rsidRPr="0034323F" w:rsidRDefault="0039445A" w:rsidP="0039445A">
            <w:pPr>
              <w:pStyle w:val="ListParagraph"/>
              <w:numPr>
                <w:ilvl w:val="0"/>
                <w:numId w:val="15"/>
              </w:numPr>
              <w:rPr>
                <w:rFonts w:ascii="Calibri" w:eastAsia="Times New Roman" w:hAnsi="Calibri" w:cs="Calibri"/>
                <w:b/>
                <w:bCs/>
                <w:color w:val="000000"/>
                <w:lang w:eastAsia="en-GB"/>
              </w:rPr>
            </w:pPr>
            <w:r>
              <w:rPr>
                <w:rFonts w:ascii="Calibri" w:eastAsia="Times New Roman" w:hAnsi="Calibri" w:cs="Calibri"/>
                <w:color w:val="000000"/>
                <w:lang w:eastAsia="en-GB"/>
              </w:rPr>
              <w:t>Which sorts of gambling are riskier?</w:t>
            </w:r>
          </w:p>
          <w:p w14:paraId="672D91E9" w14:textId="77777777" w:rsidR="0039445A" w:rsidRPr="00891A96" w:rsidRDefault="0039445A" w:rsidP="0039445A">
            <w:pPr>
              <w:pStyle w:val="ListParagraph"/>
              <w:numPr>
                <w:ilvl w:val="0"/>
                <w:numId w:val="15"/>
              </w:numPr>
              <w:rPr>
                <w:rFonts w:ascii="Calibri" w:eastAsia="Times New Roman" w:hAnsi="Calibri" w:cs="Calibri"/>
                <w:b/>
                <w:bCs/>
                <w:color w:val="000000"/>
                <w:lang w:eastAsia="en-GB"/>
              </w:rPr>
            </w:pPr>
            <w:r>
              <w:rPr>
                <w:rFonts w:ascii="Calibri" w:eastAsia="Times New Roman" w:hAnsi="Calibri" w:cs="Calibri"/>
                <w:color w:val="000000"/>
                <w:lang w:eastAsia="en-GB"/>
              </w:rPr>
              <w:t>What makes something riskier?</w:t>
            </w:r>
          </w:p>
          <w:p w14:paraId="5A437EE5" w14:textId="77777777" w:rsidR="0039445A" w:rsidRPr="00713B55" w:rsidRDefault="0039445A" w:rsidP="0039445A">
            <w:pPr>
              <w:pStyle w:val="ListParagraph"/>
              <w:numPr>
                <w:ilvl w:val="0"/>
                <w:numId w:val="15"/>
              </w:numPr>
              <w:rPr>
                <w:rFonts w:ascii="Calibri" w:eastAsia="Times New Roman" w:hAnsi="Calibri" w:cs="Calibri"/>
                <w:b/>
                <w:bCs/>
                <w:color w:val="000000"/>
                <w:lang w:eastAsia="en-GB"/>
              </w:rPr>
            </w:pPr>
            <w:r>
              <w:rPr>
                <w:rFonts w:ascii="Calibri" w:eastAsia="Times New Roman" w:hAnsi="Calibri" w:cs="Calibri"/>
                <w:color w:val="000000"/>
                <w:lang w:eastAsia="en-GB"/>
              </w:rPr>
              <w:t>What do we know about the gambling industry?</w:t>
            </w:r>
          </w:p>
          <w:p w14:paraId="6A67FC91" w14:textId="77777777" w:rsidR="0039445A" w:rsidRPr="00923A2D" w:rsidRDefault="0039445A" w:rsidP="0039445A">
            <w:pPr>
              <w:pStyle w:val="ListParagraph"/>
              <w:numPr>
                <w:ilvl w:val="0"/>
                <w:numId w:val="15"/>
              </w:numPr>
              <w:rPr>
                <w:rFonts w:ascii="Calibri" w:eastAsia="Times New Roman" w:hAnsi="Calibri" w:cs="Calibri"/>
                <w:color w:val="000000"/>
                <w:lang w:eastAsia="en-GB"/>
              </w:rPr>
            </w:pPr>
            <w:r w:rsidRPr="00923A2D">
              <w:rPr>
                <w:rFonts w:ascii="Calibri" w:eastAsia="Times New Roman" w:hAnsi="Calibri" w:cs="Calibri"/>
                <w:color w:val="000000"/>
                <w:lang w:eastAsia="en-GB"/>
              </w:rPr>
              <w:t>How can a problem be detected?</w:t>
            </w:r>
          </w:p>
          <w:p w14:paraId="32513DAA" w14:textId="77777777" w:rsidR="0039445A" w:rsidRPr="00923A2D" w:rsidRDefault="0039445A" w:rsidP="0039445A">
            <w:pPr>
              <w:pStyle w:val="ListParagraph"/>
              <w:numPr>
                <w:ilvl w:val="0"/>
                <w:numId w:val="15"/>
              </w:numPr>
              <w:rPr>
                <w:rFonts w:ascii="Calibri" w:eastAsia="Times New Roman" w:hAnsi="Calibri" w:cs="Calibri"/>
                <w:color w:val="000000"/>
                <w:lang w:eastAsia="en-GB"/>
              </w:rPr>
            </w:pPr>
            <w:r w:rsidRPr="00923A2D">
              <w:rPr>
                <w:rFonts w:ascii="Calibri" w:eastAsia="Times New Roman" w:hAnsi="Calibri" w:cs="Calibri"/>
                <w:color w:val="000000"/>
                <w:lang w:eastAsia="en-GB"/>
              </w:rPr>
              <w:t>Who can help?</w:t>
            </w:r>
          </w:p>
          <w:p w14:paraId="71B76751" w14:textId="77777777" w:rsidR="0039445A" w:rsidRPr="00585547" w:rsidRDefault="0039445A" w:rsidP="0039445A">
            <w:pPr>
              <w:pStyle w:val="ListParagraph"/>
              <w:rPr>
                <w:rFonts w:ascii="Calibri" w:eastAsia="Times New Roman" w:hAnsi="Calibri" w:cs="Calibri"/>
                <w:b/>
                <w:bCs/>
                <w:color w:val="000000"/>
                <w:lang w:eastAsia="en-GB"/>
              </w:rPr>
            </w:pPr>
          </w:p>
          <w:p w14:paraId="24036FFC" w14:textId="77777777" w:rsidR="0039445A" w:rsidRDefault="0039445A" w:rsidP="0039445A">
            <w:pPr>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To access these free and downloadable resources, email: </w:t>
            </w:r>
            <w:hyperlink r:id="rId12" w:history="1">
              <w:r w:rsidRPr="00827146">
                <w:rPr>
                  <w:rStyle w:val="Hyperlink"/>
                  <w:rFonts w:ascii="Calibri" w:eastAsia="Times New Roman" w:hAnsi="Calibri" w:cs="Calibri"/>
                  <w:lang w:eastAsia="en-GB"/>
                </w:rPr>
                <w:t>healthyschools@healthyyou.org.uk</w:t>
              </w:r>
            </w:hyperlink>
          </w:p>
          <w:p w14:paraId="32EBDD35" w14:textId="77777777" w:rsidR="0039445A" w:rsidRDefault="0039445A" w:rsidP="0039445A">
            <w:pPr>
              <w:rPr>
                <w:rFonts w:ascii="Calibri" w:eastAsia="Times New Roman" w:hAnsi="Calibri" w:cs="Calibri"/>
                <w:color w:val="000000"/>
                <w:lang w:eastAsia="en-GB"/>
              </w:rPr>
            </w:pPr>
            <w:r>
              <w:rPr>
                <w:rFonts w:ascii="Calibri" w:eastAsia="Times New Roman" w:hAnsi="Calibri" w:cs="Calibri"/>
                <w:color w:val="000000"/>
                <w:lang w:eastAsia="en-GB"/>
              </w:rPr>
              <w:t>For more information visit:</w:t>
            </w:r>
          </w:p>
          <w:p w14:paraId="1B0D1210" w14:textId="2976CEF9" w:rsidR="00F96D21" w:rsidRPr="00BB6E9F" w:rsidRDefault="00AE688E" w:rsidP="009251F0">
            <w:pPr>
              <w:rPr>
                <w:rFonts w:ascii="Calibri" w:eastAsia="Times New Roman" w:hAnsi="Calibri" w:cs="Calibri"/>
                <w:color w:val="000000"/>
                <w:lang w:eastAsia="en-GB"/>
              </w:rPr>
            </w:pPr>
            <w:hyperlink r:id="rId13" w:history="1">
              <w:r w:rsidR="0039445A">
                <w:rPr>
                  <w:rStyle w:val="Hyperlink"/>
                </w:rPr>
                <w:t>Community Eyes and Ears - Healthy Schools (healthyschoolscp.org.uk)</w:t>
              </w:r>
            </w:hyperlink>
          </w:p>
        </w:tc>
      </w:tr>
    </w:tbl>
    <w:p w14:paraId="1FB68230" w14:textId="77777777" w:rsidR="00930647" w:rsidRDefault="00930647"/>
    <w:sectPr w:rsidR="00930647" w:rsidSect="005E4A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55C"/>
    <w:multiLevelType w:val="hybridMultilevel"/>
    <w:tmpl w:val="163A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C728D"/>
    <w:multiLevelType w:val="hybridMultilevel"/>
    <w:tmpl w:val="4A6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D25DF"/>
    <w:multiLevelType w:val="hybridMultilevel"/>
    <w:tmpl w:val="5C02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45B6D"/>
    <w:multiLevelType w:val="hybridMultilevel"/>
    <w:tmpl w:val="CD4C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E15BC"/>
    <w:multiLevelType w:val="hybridMultilevel"/>
    <w:tmpl w:val="A768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3C87"/>
    <w:multiLevelType w:val="hybridMultilevel"/>
    <w:tmpl w:val="8A4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51B78"/>
    <w:multiLevelType w:val="hybridMultilevel"/>
    <w:tmpl w:val="102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920A4"/>
    <w:multiLevelType w:val="hybridMultilevel"/>
    <w:tmpl w:val="DE02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04158"/>
    <w:multiLevelType w:val="hybridMultilevel"/>
    <w:tmpl w:val="742A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64E4B"/>
    <w:multiLevelType w:val="hybridMultilevel"/>
    <w:tmpl w:val="C136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E2A9B"/>
    <w:multiLevelType w:val="hybridMultilevel"/>
    <w:tmpl w:val="70CA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16DBB"/>
    <w:multiLevelType w:val="hybridMultilevel"/>
    <w:tmpl w:val="E9B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E3404"/>
    <w:multiLevelType w:val="hybridMultilevel"/>
    <w:tmpl w:val="3702D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CF1006"/>
    <w:multiLevelType w:val="hybridMultilevel"/>
    <w:tmpl w:val="A2261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4A0CF4"/>
    <w:multiLevelType w:val="hybridMultilevel"/>
    <w:tmpl w:val="46CEE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4597113">
    <w:abstractNumId w:val="2"/>
  </w:num>
  <w:num w:numId="2" w16cid:durableId="65341672">
    <w:abstractNumId w:val="9"/>
  </w:num>
  <w:num w:numId="3" w16cid:durableId="123281776">
    <w:abstractNumId w:val="1"/>
  </w:num>
  <w:num w:numId="4" w16cid:durableId="1680231940">
    <w:abstractNumId w:val="7"/>
  </w:num>
  <w:num w:numId="5" w16cid:durableId="506402832">
    <w:abstractNumId w:val="10"/>
  </w:num>
  <w:num w:numId="6" w16cid:durableId="1592087139">
    <w:abstractNumId w:val="12"/>
  </w:num>
  <w:num w:numId="7" w16cid:durableId="332534351">
    <w:abstractNumId w:val="0"/>
  </w:num>
  <w:num w:numId="8" w16cid:durableId="1138961337">
    <w:abstractNumId w:val="4"/>
  </w:num>
  <w:num w:numId="9" w16cid:durableId="1114716549">
    <w:abstractNumId w:val="8"/>
  </w:num>
  <w:num w:numId="10" w16cid:durableId="114443244">
    <w:abstractNumId w:val="14"/>
  </w:num>
  <w:num w:numId="11" w16cid:durableId="722994535">
    <w:abstractNumId w:val="11"/>
  </w:num>
  <w:num w:numId="12" w16cid:durableId="381439518">
    <w:abstractNumId w:val="3"/>
  </w:num>
  <w:num w:numId="13" w16cid:durableId="1219973111">
    <w:abstractNumId w:val="13"/>
  </w:num>
  <w:num w:numId="14" w16cid:durableId="2026512420">
    <w:abstractNumId w:val="6"/>
  </w:num>
  <w:num w:numId="15" w16cid:durableId="866411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33"/>
    <w:rsid w:val="00023744"/>
    <w:rsid w:val="00042A2A"/>
    <w:rsid w:val="00096333"/>
    <w:rsid w:val="001049A5"/>
    <w:rsid w:val="00173B5F"/>
    <w:rsid w:val="001831B6"/>
    <w:rsid w:val="001B509B"/>
    <w:rsid w:val="001E728B"/>
    <w:rsid w:val="0021637C"/>
    <w:rsid w:val="0021759D"/>
    <w:rsid w:val="00251245"/>
    <w:rsid w:val="002546B4"/>
    <w:rsid w:val="00275BE2"/>
    <w:rsid w:val="00280612"/>
    <w:rsid w:val="002B1B72"/>
    <w:rsid w:val="00330F98"/>
    <w:rsid w:val="003544DF"/>
    <w:rsid w:val="0035605D"/>
    <w:rsid w:val="0039445A"/>
    <w:rsid w:val="00397504"/>
    <w:rsid w:val="003D20BE"/>
    <w:rsid w:val="004411B7"/>
    <w:rsid w:val="004A2814"/>
    <w:rsid w:val="004A68B2"/>
    <w:rsid w:val="004E2F6D"/>
    <w:rsid w:val="005321FB"/>
    <w:rsid w:val="00533314"/>
    <w:rsid w:val="00583B60"/>
    <w:rsid w:val="005E4A33"/>
    <w:rsid w:val="006013A9"/>
    <w:rsid w:val="00617F54"/>
    <w:rsid w:val="006203F7"/>
    <w:rsid w:val="006310BC"/>
    <w:rsid w:val="00635FE6"/>
    <w:rsid w:val="006403A5"/>
    <w:rsid w:val="006554F7"/>
    <w:rsid w:val="006F3EB6"/>
    <w:rsid w:val="007146DC"/>
    <w:rsid w:val="00736748"/>
    <w:rsid w:val="00791C8C"/>
    <w:rsid w:val="007E427A"/>
    <w:rsid w:val="00804DE8"/>
    <w:rsid w:val="008C0188"/>
    <w:rsid w:val="008D1B7C"/>
    <w:rsid w:val="00902682"/>
    <w:rsid w:val="009251F0"/>
    <w:rsid w:val="00930647"/>
    <w:rsid w:val="009E74D7"/>
    <w:rsid w:val="00A20DA0"/>
    <w:rsid w:val="00A2114B"/>
    <w:rsid w:val="00A42CDF"/>
    <w:rsid w:val="00A63474"/>
    <w:rsid w:val="00A85081"/>
    <w:rsid w:val="00AD4752"/>
    <w:rsid w:val="00AE688E"/>
    <w:rsid w:val="00B03A31"/>
    <w:rsid w:val="00B14BD2"/>
    <w:rsid w:val="00B34555"/>
    <w:rsid w:val="00BA1578"/>
    <w:rsid w:val="00BA440F"/>
    <w:rsid w:val="00BB0BA6"/>
    <w:rsid w:val="00BB6E9F"/>
    <w:rsid w:val="00C40F28"/>
    <w:rsid w:val="00C52EF6"/>
    <w:rsid w:val="00CB772D"/>
    <w:rsid w:val="00D13151"/>
    <w:rsid w:val="00D35A37"/>
    <w:rsid w:val="00DE4FFE"/>
    <w:rsid w:val="00E0707A"/>
    <w:rsid w:val="00E10E43"/>
    <w:rsid w:val="00E24CE0"/>
    <w:rsid w:val="00E35FB1"/>
    <w:rsid w:val="00E83750"/>
    <w:rsid w:val="00EC259D"/>
    <w:rsid w:val="00EC5400"/>
    <w:rsid w:val="00EC5B1E"/>
    <w:rsid w:val="00ED762A"/>
    <w:rsid w:val="00F76D11"/>
    <w:rsid w:val="00F96D21"/>
    <w:rsid w:val="00FA52C6"/>
    <w:rsid w:val="00FE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9C32"/>
  <w15:chartTrackingRefBased/>
  <w15:docId w15:val="{C7AB35D2-ACE8-429A-84C9-A9CF4E7E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A33"/>
    <w:rPr>
      <w:color w:val="0563C1" w:themeColor="hyperlink"/>
      <w:u w:val="single"/>
    </w:rPr>
  </w:style>
  <w:style w:type="table" w:styleId="TableGrid">
    <w:name w:val="Table Grid"/>
    <w:basedOn w:val="TableNormal"/>
    <w:uiPriority w:val="39"/>
    <w:rsid w:val="005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BD2"/>
    <w:pPr>
      <w:ind w:left="720"/>
      <w:contextualSpacing/>
    </w:pPr>
  </w:style>
  <w:style w:type="paragraph" w:styleId="NormalWeb">
    <w:name w:val="Normal (Web)"/>
    <w:basedOn w:val="Normal"/>
    <w:uiPriority w:val="99"/>
    <w:semiHidden/>
    <w:unhideWhenUsed/>
    <w:rsid w:val="00B14B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yschoolscp.org.uk/keeping-safe/community-eyes-and-ea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lthyschools@healthyyou.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yschoolscp.org.uk/keeping-safe/community-eyes-and-ea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althyschools@healthyyou.org.uk" TargetMode="External"/><Relationship Id="rId4" Type="http://schemas.openxmlformats.org/officeDocument/2006/relationships/numbering" Target="numbering.xml"/><Relationship Id="rId9" Type="http://schemas.openxmlformats.org/officeDocument/2006/relationships/hyperlink" Target="mailto:Emma.Graves-Brown@eastcamb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6" ma:contentTypeDescription="Create a new document." ma:contentTypeScope="" ma:versionID="aa63ab38c6c45e9a56de43db7be15e7f">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0e2e86d8d65ac32e01bb43a75a2b744c"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3cfac471-4577-4682-ace2-27119004f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4F3992-0948-4C73-89DE-0580EA9D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9C8F9-3217-4B4A-AF39-A1B976C2F79E}">
  <ds:schemaRefs>
    <ds:schemaRef ds:uri="http://schemas.microsoft.com/sharepoint/v3/contenttype/forms"/>
  </ds:schemaRefs>
</ds:datastoreItem>
</file>

<file path=customXml/itemProps3.xml><?xml version="1.0" encoding="utf-8"?>
<ds:datastoreItem xmlns:ds="http://schemas.openxmlformats.org/officeDocument/2006/customXml" ds:itemID="{79427742-E70C-477A-AF9E-9A36C82650EC}">
  <ds:schemaRefs>
    <ds:schemaRef ds:uri="http://schemas.microsoft.com/office/2006/metadata/properties"/>
    <ds:schemaRef ds:uri="http://schemas.microsoft.com/office/infopath/2007/PartnerControls"/>
    <ds:schemaRef ds:uri="fec5c98a-6fc8-4a06-b367-420d10c239c8"/>
    <ds:schemaRef ds:uri="3cfac471-4577-4682-ace2-27119004fbf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Links>
    <vt:vector size="36" baseType="variant">
      <vt:variant>
        <vt:i4>4390917</vt:i4>
      </vt:variant>
      <vt:variant>
        <vt:i4>15</vt:i4>
      </vt:variant>
      <vt:variant>
        <vt:i4>0</vt:i4>
      </vt:variant>
      <vt:variant>
        <vt:i4>5</vt:i4>
      </vt:variant>
      <vt:variant>
        <vt:lpwstr>https://healthyschoolscp.org.uk/resilience/firebreak/</vt:lpwstr>
      </vt:variant>
      <vt:variant>
        <vt:lpwstr/>
      </vt:variant>
      <vt:variant>
        <vt:i4>917602</vt:i4>
      </vt:variant>
      <vt:variant>
        <vt:i4>12</vt:i4>
      </vt:variant>
      <vt:variant>
        <vt:i4>0</vt:i4>
      </vt:variant>
      <vt:variant>
        <vt:i4>5</vt:i4>
      </vt:variant>
      <vt:variant>
        <vt:lpwstr>mailto:firebreakinfo@cambsfire.gov.uk</vt:lpwstr>
      </vt:variant>
      <vt:variant>
        <vt:lpwstr/>
      </vt:variant>
      <vt:variant>
        <vt:i4>4784198</vt:i4>
      </vt:variant>
      <vt:variant>
        <vt:i4>9</vt:i4>
      </vt:variant>
      <vt:variant>
        <vt:i4>0</vt:i4>
      </vt:variant>
      <vt:variant>
        <vt:i4>5</vt:i4>
      </vt:variant>
      <vt:variant>
        <vt:lpwstr>https://healthyschoolscp.org.uk/resilience/firebreak-one/</vt:lpwstr>
      </vt:variant>
      <vt:variant>
        <vt:lpwstr/>
      </vt:variant>
      <vt:variant>
        <vt:i4>917602</vt:i4>
      </vt:variant>
      <vt:variant>
        <vt:i4>6</vt:i4>
      </vt:variant>
      <vt:variant>
        <vt:i4>0</vt:i4>
      </vt:variant>
      <vt:variant>
        <vt:i4>5</vt:i4>
      </vt:variant>
      <vt:variant>
        <vt:lpwstr>mailto:firebreakinfo@cambsfire.gov.uk</vt:lpwstr>
      </vt:variant>
      <vt:variant>
        <vt:lpwstr/>
      </vt:variant>
      <vt:variant>
        <vt:i4>6881380</vt:i4>
      </vt:variant>
      <vt:variant>
        <vt:i4>3</vt:i4>
      </vt:variant>
      <vt:variant>
        <vt:i4>0</vt:i4>
      </vt:variant>
      <vt:variant>
        <vt:i4>5</vt:i4>
      </vt:variant>
      <vt:variant>
        <vt:lpwstr>https://www.cambsfire.gov.uk/media/3012/jet-teacher-and-parent-guidence.pdf</vt:lpwstr>
      </vt:variant>
      <vt:variant>
        <vt:lpwstr/>
      </vt:variant>
      <vt:variant>
        <vt:i4>5177415</vt:i4>
      </vt:variant>
      <vt:variant>
        <vt:i4>0</vt:i4>
      </vt:variant>
      <vt:variant>
        <vt:i4>0</vt:i4>
      </vt:variant>
      <vt:variant>
        <vt:i4>5</vt:i4>
      </vt:variant>
      <vt:variant>
        <vt:lpwstr>https://www.cambsfire.gov.uk/community-safety/come-and-play/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 | Healthy You</dc:creator>
  <cp:keywords/>
  <dc:description/>
  <cp:lastModifiedBy>Joanne Howling | Healthy You</cp:lastModifiedBy>
  <cp:revision>67</cp:revision>
  <dcterms:created xsi:type="dcterms:W3CDTF">2022-08-09T18:25:00Z</dcterms:created>
  <dcterms:modified xsi:type="dcterms:W3CDTF">2022-08-10T15:33:00Z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y fmtid="{D5CDD505-2E9C-101B-9397-08002B2CF9AE}" pid="3" name="MediaServiceImageTags">
    <vt:lpwstr/>
  </property>
</Properties>
</file>